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14A05" w14:textId="1CBA63A5" w:rsidR="00D132A4" w:rsidRDefault="00D132A4" w:rsidP="00D132A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</w:t>
      </w:r>
      <w:r w:rsidR="003E7AF9">
        <w:rPr>
          <w:rFonts w:ascii="Arial" w:hAnsi="Arial" w:cs="Arial"/>
          <w:sz w:val="22"/>
          <w:szCs w:val="22"/>
        </w:rPr>
        <w:t>1</w:t>
      </w:r>
      <w:r w:rsidR="004F149C">
        <w:rPr>
          <w:rFonts w:ascii="Arial" w:hAnsi="Arial" w:cs="Arial"/>
          <w:sz w:val="22"/>
          <w:szCs w:val="22"/>
        </w:rPr>
        <w:t>2</w:t>
      </w:r>
      <w:r w:rsidR="003E7AF9"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r w:rsidR="005E1FCE" w:rsidRPr="005E1FCE">
        <w:rPr>
          <w:rFonts w:ascii="Arial" w:hAnsi="Arial" w:cs="Arial"/>
          <w:sz w:val="22"/>
          <w:szCs w:val="22"/>
        </w:rPr>
        <w:t>R2-2009952</w:t>
      </w:r>
    </w:p>
    <w:p w14:paraId="4713123B" w14:textId="21850550" w:rsidR="003E7AF9" w:rsidRDefault="00FE5CDF" w:rsidP="003E7AF9">
      <w:pPr>
        <w:pStyle w:val="3GPPHeader"/>
        <w:spacing w:after="0"/>
        <w:rPr>
          <w:rFonts w:ascii="Arial" w:hAnsi="Arial" w:cs="Arial"/>
          <w:sz w:val="22"/>
        </w:rPr>
      </w:pPr>
      <w:bookmarkStart w:id="1" w:name="_Hlk39551725"/>
      <w:bookmarkEnd w:id="0"/>
      <w:proofErr w:type="spellStart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>eMeeting</w:t>
      </w:r>
      <w:proofErr w:type="spellEnd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 w:rsidR="004F149C">
        <w:rPr>
          <w:rFonts w:ascii="Arial" w:eastAsia="Malgun Gothic" w:hAnsi="Arial" w:cs="Arial"/>
          <w:sz w:val="22"/>
          <w:szCs w:val="22"/>
          <w:lang w:val="en-US" w:eastAsia="en-US"/>
        </w:rPr>
        <w:t>2</w:t>
      </w:r>
      <w:r w:rsidR="004F149C" w:rsidRPr="004F149C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nd</w:t>
      </w:r>
      <w:r w:rsidR="004F149C">
        <w:rPr>
          <w:rFonts w:ascii="Arial" w:eastAsia="Malgun Gothic" w:hAnsi="Arial" w:cs="Arial"/>
          <w:sz w:val="22"/>
          <w:szCs w:val="22"/>
          <w:lang w:val="en-US" w:eastAsia="en-US"/>
        </w:rPr>
        <w:t xml:space="preserve"> – 13</w:t>
      </w:r>
      <w:r w:rsidR="004F149C" w:rsidRPr="004F149C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="004F149C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proofErr w:type="gramStart"/>
      <w:r w:rsidR="004F149C">
        <w:rPr>
          <w:rFonts w:ascii="Arial" w:eastAsia="Malgun Gothic" w:hAnsi="Arial" w:cs="Arial"/>
          <w:sz w:val="22"/>
          <w:szCs w:val="22"/>
          <w:lang w:val="en-US" w:eastAsia="en-US"/>
        </w:rPr>
        <w:t>November</w:t>
      </w:r>
      <w:r w:rsidR="003E7AF9">
        <w:rPr>
          <w:rFonts w:ascii="Arial" w:eastAsia="Malgun Gothic" w:hAnsi="Arial" w:cs="Arial"/>
          <w:sz w:val="22"/>
          <w:szCs w:val="22"/>
          <w:lang w:val="en-US" w:eastAsia="en-US"/>
        </w:rPr>
        <w:t>,</w:t>
      </w:r>
      <w:proofErr w:type="gramEnd"/>
      <w:r w:rsidR="003E7AF9">
        <w:rPr>
          <w:rFonts w:ascii="Arial" w:eastAsia="Malgun Gothic" w:hAnsi="Arial" w:cs="Arial"/>
          <w:sz w:val="22"/>
          <w:szCs w:val="22"/>
          <w:lang w:val="en-US" w:eastAsia="en-US"/>
        </w:rPr>
        <w:t xml:space="preserve"> 2020</w:t>
      </w:r>
    </w:p>
    <w:bookmarkEnd w:id="1"/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64A7B29C" w:rsidR="00120D47" w:rsidRPr="0075306A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75306A" w:rsidRPr="0075306A">
        <w:rPr>
          <w:rFonts w:ascii="Arial" w:hAnsi="Arial" w:cs="Arial"/>
          <w:b w:val="0"/>
          <w:bCs/>
          <w:sz w:val="22"/>
        </w:rPr>
        <w:t>6.9.3 Control plane Corrections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045DE42B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75306A">
        <w:rPr>
          <w:rFonts w:ascii="Arial" w:hAnsi="Arial" w:cs="Arial"/>
          <w:b w:val="0"/>
          <w:bCs/>
          <w:sz w:val="22"/>
          <w:lang w:val="en-US"/>
        </w:rPr>
        <w:t>Way forward relaxed RRM requirements in RAN2 and RAN4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2DE6A568" w:rsidR="00120D47" w:rsidRDefault="004D10CC" w:rsidP="00120D47">
      <w:pPr>
        <w:pStyle w:val="Heading1"/>
      </w:pPr>
      <w:r>
        <w:t>Introduction</w:t>
      </w:r>
    </w:p>
    <w:p w14:paraId="0464633F" w14:textId="27A785A9" w:rsidR="001133D4" w:rsidRPr="001133D4" w:rsidRDefault="001133D4" w:rsidP="001133D4">
      <w:pPr>
        <w:rPr>
          <w:lang w:val="en-GB" w:eastAsia="zh-CN"/>
        </w:rPr>
      </w:pPr>
      <w:r>
        <w:rPr>
          <w:lang w:val="en-GB" w:eastAsia="zh-CN"/>
        </w:rPr>
        <w:t xml:space="preserve">The relaxed RRM measurement requirements specified in 38.304 and 38.133 are further discussed in this contribution. </w:t>
      </w:r>
    </w:p>
    <w:p w14:paraId="6F8A1D5D" w14:textId="62FE67D8" w:rsidR="004D10CC" w:rsidRDefault="004D10CC" w:rsidP="004D10CC">
      <w:pPr>
        <w:pStyle w:val="Heading1"/>
      </w:pPr>
      <w:bookmarkStart w:id="2" w:name="_Toc242573354"/>
      <w:r>
        <w:t>Background</w:t>
      </w:r>
    </w:p>
    <w:p w14:paraId="54E2C0D4" w14:textId="1A76E1C9" w:rsidR="00877D1C" w:rsidRDefault="00BF49FB" w:rsidP="00BF49FB">
      <w:pPr>
        <w:pStyle w:val="Heading2"/>
      </w:pPr>
      <w:r>
        <w:t>NB-IOT</w:t>
      </w:r>
      <w:r w:rsidR="007D3048">
        <w:t>/MTC/CE</w:t>
      </w:r>
    </w:p>
    <w:p w14:paraId="0FC25931" w14:textId="0E6B2C01" w:rsidR="00BF49FB" w:rsidRPr="005E7629" w:rsidRDefault="00BF49FB" w:rsidP="00877D1C">
      <w:pPr>
        <w:rPr>
          <w:b/>
          <w:bCs/>
          <w:u w:val="single"/>
          <w:lang w:val="en-GB" w:eastAsia="zh-CN"/>
        </w:rPr>
      </w:pPr>
      <w:r w:rsidRPr="005E7629">
        <w:rPr>
          <w:b/>
          <w:bCs/>
          <w:u w:val="single"/>
          <w:lang w:val="en-GB" w:eastAsia="zh-CN"/>
        </w:rPr>
        <w:t>38.304:</w:t>
      </w:r>
    </w:p>
    <w:p w14:paraId="3BB6A294" w14:textId="65581AB0" w:rsidR="005E7629" w:rsidRDefault="005E7629" w:rsidP="005E7629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Pr="005E7629">
        <w:rPr>
          <w:lang w:val="en-GB" w:eastAsia="zh-CN"/>
        </w:rPr>
        <w:t>Measurement rules for cell re-selection</w:t>
      </w:r>
      <w:r>
        <w:rPr>
          <w:lang w:val="en-GB" w:eastAsia="zh-CN"/>
        </w:rPr>
        <w:t xml:space="preserve"> are specified in section </w:t>
      </w:r>
      <w:r w:rsidRPr="003B0FA0">
        <w:t>5.2.4.2</w:t>
      </w:r>
      <w:r>
        <w:t>.</w:t>
      </w:r>
    </w:p>
    <w:p w14:paraId="4083D46A" w14:textId="5C54161B" w:rsidR="00BF49FB" w:rsidRDefault="005E7629" w:rsidP="005E7629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Pr="005E7629">
        <w:rPr>
          <w:lang w:val="en-GB" w:eastAsia="zh-CN"/>
        </w:rPr>
        <w:t xml:space="preserve">Relaxed monitoring measurement rules (including Relaxed monitoring criterion) </w:t>
      </w:r>
      <w:r w:rsidR="00210E7C">
        <w:rPr>
          <w:lang w:val="en-GB" w:eastAsia="zh-CN"/>
        </w:rPr>
        <w:t xml:space="preserve">are specified </w:t>
      </w:r>
      <w:r w:rsidRPr="005E7629">
        <w:rPr>
          <w:lang w:val="en-GB" w:eastAsia="zh-CN"/>
        </w:rPr>
        <w:t>in section 5.2.4.12</w:t>
      </w:r>
      <w:r w:rsidR="00210E7C">
        <w:rPr>
          <w:lang w:val="en-GB" w:eastAsia="zh-CN"/>
        </w:rPr>
        <w:t>.</w:t>
      </w:r>
    </w:p>
    <w:p w14:paraId="616651C2" w14:textId="3D221A4F" w:rsidR="00BF49FB" w:rsidRPr="005E7629" w:rsidRDefault="00BF49FB" w:rsidP="00877D1C">
      <w:pPr>
        <w:rPr>
          <w:b/>
          <w:bCs/>
          <w:u w:val="single"/>
          <w:lang w:val="en-GB" w:eastAsia="zh-CN"/>
        </w:rPr>
      </w:pPr>
      <w:r w:rsidRPr="005E7629">
        <w:rPr>
          <w:b/>
          <w:bCs/>
          <w:u w:val="single"/>
          <w:lang w:val="en-GB" w:eastAsia="zh-CN"/>
        </w:rPr>
        <w:t>38.133:</w:t>
      </w:r>
    </w:p>
    <w:p w14:paraId="4304C59C" w14:textId="15BD715F" w:rsidR="00210E7C" w:rsidRDefault="00210E7C" w:rsidP="00877D1C">
      <w:pPr>
        <w:rPr>
          <w:lang w:val="en-GB" w:eastAsia="zh-CN"/>
        </w:rPr>
      </w:pPr>
      <w:r>
        <w:rPr>
          <w:lang w:val="en-GB" w:eastAsia="zh-CN"/>
        </w:rPr>
        <w:t>The measurement requirements for cell re-selection are specified in section 4.6.2.</w:t>
      </w:r>
    </w:p>
    <w:p w14:paraId="4BDA077F" w14:textId="676BBB3E" w:rsidR="00210E7C" w:rsidRDefault="00AF177B" w:rsidP="00877D1C">
      <w:pPr>
        <w:rPr>
          <w:lang w:val="en-GB" w:eastAsia="zh-CN"/>
        </w:rPr>
      </w:pPr>
      <w:r>
        <w:rPr>
          <w:lang w:val="en-GB" w:eastAsia="zh-CN"/>
        </w:rPr>
        <w:t>For example, for intra-frequency measurement requirements (</w:t>
      </w:r>
      <w:proofErr w:type="spellStart"/>
      <w:r w:rsidRPr="00691C10">
        <w:t>T</w:t>
      </w:r>
      <w:r w:rsidRPr="00691C10">
        <w:rPr>
          <w:vertAlign w:val="subscript"/>
        </w:rPr>
        <w:t>detect,NB_Intra_NC</w:t>
      </w:r>
      <w:proofErr w:type="spellEnd"/>
      <w:r w:rsidRPr="00691C10">
        <w:rPr>
          <w:vertAlign w:val="subscript"/>
        </w:rPr>
        <w:t>,</w:t>
      </w:r>
      <w:r w:rsidRPr="00691C10">
        <w:t xml:space="preserve"> </w:t>
      </w:r>
      <w:proofErr w:type="spellStart"/>
      <w:r w:rsidRPr="00691C10">
        <w:t>T</w:t>
      </w:r>
      <w:r w:rsidRPr="00691C10">
        <w:rPr>
          <w:vertAlign w:val="subscript"/>
        </w:rPr>
        <w:t>measure,NB_Intra_NC</w:t>
      </w:r>
      <w:proofErr w:type="spellEnd"/>
      <w:r w:rsidRPr="00691C10">
        <w:t xml:space="preserve"> and </w:t>
      </w:r>
      <w:proofErr w:type="spellStart"/>
      <w:r w:rsidRPr="00691C10">
        <w:t>T</w:t>
      </w:r>
      <w:r w:rsidRPr="00691C10">
        <w:rPr>
          <w:vertAlign w:val="subscript"/>
        </w:rPr>
        <w:t>evaluate,NB_intra_NC</w:t>
      </w:r>
      <w:proofErr w:type="spellEnd"/>
      <w:r>
        <w:rPr>
          <w:lang w:val="en-GB" w:eastAsia="zh-CN"/>
        </w:rPr>
        <w:t xml:space="preserve">) </w:t>
      </w:r>
      <w:r w:rsidR="00BC5EA2">
        <w:rPr>
          <w:lang w:val="en-GB" w:eastAsia="zh-CN"/>
        </w:rPr>
        <w:t xml:space="preserve">in section </w:t>
      </w:r>
      <w:r w:rsidR="00BC5EA2" w:rsidRPr="00691C10">
        <w:t>4.6.2.2</w:t>
      </w:r>
      <w:r w:rsidR="00BC5EA2">
        <w:rPr>
          <w:lang w:val="en-GB" w:eastAsia="zh-CN"/>
        </w:rPr>
        <w:t xml:space="preserve"> </w:t>
      </w:r>
      <w:r>
        <w:rPr>
          <w:lang w:val="en-GB" w:eastAsia="zh-CN"/>
        </w:rPr>
        <w:t xml:space="preserve">it is referred to 38.304 for “relaxed monitoring criteria”: </w:t>
      </w:r>
    </w:p>
    <w:p w14:paraId="4F3BD3CC" w14:textId="77777777" w:rsidR="005E7629" w:rsidRPr="00AF177B" w:rsidRDefault="005E7629" w:rsidP="005E7629">
      <w:pPr>
        <w:rPr>
          <w:rFonts w:ascii="Times New Roman" w:hAnsi="Times New Roman"/>
          <w:color w:val="C45911" w:themeColor="accent2" w:themeShade="BF"/>
        </w:rPr>
      </w:pPr>
      <w:r w:rsidRPr="00AF177B">
        <w:rPr>
          <w:rFonts w:ascii="Times New Roman" w:hAnsi="Times New Roman"/>
          <w:color w:val="C45911" w:themeColor="accent2" w:themeShade="BF"/>
          <w:lang w:eastAsia="zh-CN"/>
        </w:rPr>
        <w:t xml:space="preserve">If all the </w:t>
      </w:r>
      <w:r w:rsidRPr="00F01892">
        <w:rPr>
          <w:rFonts w:ascii="Times New Roman" w:hAnsi="Times New Roman"/>
          <w:color w:val="C45911" w:themeColor="accent2" w:themeShade="BF"/>
          <w:highlight w:val="yellow"/>
          <w:lang w:eastAsia="zh-CN"/>
        </w:rPr>
        <w:t>relaxed monitoring criteria defined in clause 5.2.4.12 [1]</w:t>
      </w:r>
      <w:r w:rsidRPr="00AF177B">
        <w:rPr>
          <w:rFonts w:ascii="Times New Roman" w:hAnsi="Times New Roman"/>
          <w:color w:val="C45911" w:themeColor="accent2" w:themeShade="BF"/>
          <w:lang w:eastAsia="zh-CN"/>
        </w:rPr>
        <w:t xml:space="preserve"> are fulfilled then the UE’s intra-frequency measurement is not required to meet </w:t>
      </w:r>
      <w:proofErr w:type="spellStart"/>
      <w:r w:rsidRPr="00AF177B">
        <w:rPr>
          <w:rFonts w:ascii="Times New Roman" w:hAnsi="Times New Roman"/>
          <w:color w:val="C45911" w:themeColor="accent2" w:themeShade="BF"/>
        </w:rPr>
        <w:t>T</w:t>
      </w:r>
      <w:r w:rsidRPr="00AF177B">
        <w:rPr>
          <w:rFonts w:ascii="Times New Roman" w:hAnsi="Times New Roman"/>
          <w:color w:val="C45911" w:themeColor="accent2" w:themeShade="BF"/>
          <w:vertAlign w:val="subscript"/>
        </w:rPr>
        <w:t>detect,NB_Intra_NC</w:t>
      </w:r>
      <w:proofErr w:type="spellEnd"/>
      <w:r w:rsidRPr="00AF177B">
        <w:rPr>
          <w:rFonts w:ascii="Times New Roman" w:hAnsi="Times New Roman"/>
          <w:color w:val="C45911" w:themeColor="accent2" w:themeShade="BF"/>
          <w:vertAlign w:val="subscript"/>
        </w:rPr>
        <w:t>,</w:t>
      </w:r>
      <w:r w:rsidRPr="00AF177B">
        <w:rPr>
          <w:rFonts w:ascii="Times New Roman" w:hAnsi="Times New Roman"/>
          <w:color w:val="C45911" w:themeColor="accent2" w:themeShade="BF"/>
        </w:rPr>
        <w:t xml:space="preserve"> </w:t>
      </w:r>
      <w:proofErr w:type="spellStart"/>
      <w:r w:rsidRPr="00AF177B">
        <w:rPr>
          <w:rFonts w:ascii="Times New Roman" w:hAnsi="Times New Roman"/>
          <w:color w:val="C45911" w:themeColor="accent2" w:themeShade="BF"/>
        </w:rPr>
        <w:t>T</w:t>
      </w:r>
      <w:r w:rsidRPr="00AF177B">
        <w:rPr>
          <w:rFonts w:ascii="Times New Roman" w:hAnsi="Times New Roman"/>
          <w:color w:val="C45911" w:themeColor="accent2" w:themeShade="BF"/>
          <w:vertAlign w:val="subscript"/>
        </w:rPr>
        <w:t>measure,NB_Intra_NC</w:t>
      </w:r>
      <w:proofErr w:type="spellEnd"/>
      <w:r w:rsidRPr="00AF177B">
        <w:rPr>
          <w:rFonts w:ascii="Times New Roman" w:hAnsi="Times New Roman"/>
          <w:color w:val="C45911" w:themeColor="accent2" w:themeShade="BF"/>
        </w:rPr>
        <w:t xml:space="preserve"> and </w:t>
      </w:r>
      <w:proofErr w:type="spellStart"/>
      <w:r w:rsidRPr="00AF177B">
        <w:rPr>
          <w:rFonts w:ascii="Times New Roman" w:hAnsi="Times New Roman"/>
          <w:color w:val="C45911" w:themeColor="accent2" w:themeShade="BF"/>
        </w:rPr>
        <w:t>T</w:t>
      </w:r>
      <w:r w:rsidRPr="00AF177B">
        <w:rPr>
          <w:rFonts w:ascii="Times New Roman" w:hAnsi="Times New Roman"/>
          <w:color w:val="C45911" w:themeColor="accent2" w:themeShade="BF"/>
          <w:vertAlign w:val="subscript"/>
        </w:rPr>
        <w:t>evaluate,NB_intra_NC</w:t>
      </w:r>
      <w:proofErr w:type="spellEnd"/>
      <w:r w:rsidRPr="00AF177B">
        <w:rPr>
          <w:rFonts w:ascii="Times New Roman" w:hAnsi="Times New Roman"/>
          <w:color w:val="C45911" w:themeColor="accent2" w:themeShade="BF"/>
          <w:lang w:eastAsia="zh-CN"/>
        </w:rPr>
        <w:t xml:space="preserve"> as defined in Table 4.6.2.2-1 and Table 4.6.2.2-2.</w:t>
      </w:r>
    </w:p>
    <w:p w14:paraId="2688F202" w14:textId="5ABD79BF" w:rsidR="005E7629" w:rsidRDefault="00CF11DD" w:rsidP="00CF11DD">
      <w:pPr>
        <w:pStyle w:val="Heading2"/>
      </w:pPr>
      <w:r>
        <w:t>NR</w:t>
      </w:r>
    </w:p>
    <w:p w14:paraId="6CE1D1F8" w14:textId="77777777" w:rsidR="0097370A" w:rsidRPr="005E7629" w:rsidRDefault="0097370A" w:rsidP="0097370A">
      <w:pPr>
        <w:rPr>
          <w:b/>
          <w:bCs/>
          <w:u w:val="single"/>
          <w:lang w:val="en-GB" w:eastAsia="zh-CN"/>
        </w:rPr>
      </w:pPr>
      <w:r w:rsidRPr="005E7629">
        <w:rPr>
          <w:b/>
          <w:bCs/>
          <w:u w:val="single"/>
          <w:lang w:val="en-GB" w:eastAsia="zh-CN"/>
        </w:rPr>
        <w:t>38.304:</w:t>
      </w:r>
    </w:p>
    <w:p w14:paraId="2E410CE2" w14:textId="77777777" w:rsidR="0097370A" w:rsidRDefault="0097370A" w:rsidP="0097370A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Pr="005E7629">
        <w:rPr>
          <w:lang w:val="en-GB" w:eastAsia="zh-CN"/>
        </w:rPr>
        <w:t>Measurement rules for cell re-selection</w:t>
      </w:r>
      <w:r>
        <w:rPr>
          <w:lang w:val="en-GB" w:eastAsia="zh-CN"/>
        </w:rPr>
        <w:t xml:space="preserve"> are specified in section </w:t>
      </w:r>
      <w:r w:rsidRPr="003B0FA0">
        <w:t>5.2.4.2</w:t>
      </w:r>
      <w:r>
        <w:t>.</w:t>
      </w:r>
    </w:p>
    <w:p w14:paraId="10980243" w14:textId="34E305F2" w:rsidR="0097370A" w:rsidRDefault="0097370A" w:rsidP="0097370A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Pr="005E7629">
        <w:rPr>
          <w:lang w:val="en-GB" w:eastAsia="zh-CN"/>
        </w:rPr>
        <w:t>Relaxed measurement rules (including Relaxed monitoring criterion</w:t>
      </w:r>
      <w:r w:rsidR="007A11E3">
        <w:rPr>
          <w:lang w:val="en-GB" w:eastAsia="zh-CN"/>
        </w:rPr>
        <w:t xml:space="preserve"> for low mobility/not at cell edge</w:t>
      </w:r>
      <w:r w:rsidRPr="005E7629">
        <w:rPr>
          <w:lang w:val="en-GB" w:eastAsia="zh-CN"/>
        </w:rPr>
        <w:t xml:space="preserve">) </w:t>
      </w:r>
      <w:r>
        <w:rPr>
          <w:lang w:val="en-GB" w:eastAsia="zh-CN"/>
        </w:rPr>
        <w:t xml:space="preserve">are specified </w:t>
      </w:r>
      <w:r w:rsidRPr="005E7629">
        <w:rPr>
          <w:lang w:val="en-GB" w:eastAsia="zh-CN"/>
        </w:rPr>
        <w:t>in section 5.2.4.</w:t>
      </w:r>
      <w:r w:rsidR="007A11E3">
        <w:rPr>
          <w:lang w:val="en-GB" w:eastAsia="zh-CN"/>
        </w:rPr>
        <w:t>9</w:t>
      </w:r>
      <w:r>
        <w:rPr>
          <w:lang w:val="en-GB" w:eastAsia="zh-CN"/>
        </w:rPr>
        <w:t>.</w:t>
      </w:r>
    </w:p>
    <w:p w14:paraId="329B74BF" w14:textId="77777777" w:rsidR="0097370A" w:rsidRPr="005E7629" w:rsidRDefault="0097370A" w:rsidP="0097370A">
      <w:pPr>
        <w:rPr>
          <w:b/>
          <w:bCs/>
          <w:u w:val="single"/>
          <w:lang w:val="en-GB" w:eastAsia="zh-CN"/>
        </w:rPr>
      </w:pPr>
      <w:r w:rsidRPr="005E7629">
        <w:rPr>
          <w:b/>
          <w:bCs/>
          <w:u w:val="single"/>
          <w:lang w:val="en-GB" w:eastAsia="zh-CN"/>
        </w:rPr>
        <w:t>38.133:</w:t>
      </w:r>
    </w:p>
    <w:p w14:paraId="10DA83E7" w14:textId="77777777" w:rsidR="0097370A" w:rsidRDefault="0097370A" w:rsidP="0097370A">
      <w:pPr>
        <w:rPr>
          <w:lang w:val="en-GB" w:eastAsia="zh-CN"/>
        </w:rPr>
      </w:pPr>
      <w:r>
        <w:rPr>
          <w:lang w:val="en-GB" w:eastAsia="zh-CN"/>
        </w:rPr>
        <w:t>The measurement requirements for cell re-selection are specified in section 4.6.2.</w:t>
      </w:r>
    </w:p>
    <w:p w14:paraId="3459241B" w14:textId="507D0FE9" w:rsidR="007A22D1" w:rsidRDefault="007A22D1" w:rsidP="007A22D1">
      <w:pPr>
        <w:rPr>
          <w:lang w:val="en-GB" w:eastAsia="zh-CN"/>
        </w:rPr>
      </w:pPr>
      <w:r>
        <w:rPr>
          <w:lang w:val="en-GB" w:eastAsia="zh-CN"/>
        </w:rPr>
        <w:t>The measurement requirements for cell re-selection are specified in section 4.</w:t>
      </w:r>
      <w:r>
        <w:rPr>
          <w:lang w:val="en-GB" w:eastAsia="zh-CN"/>
        </w:rPr>
        <w:t>2</w:t>
      </w:r>
      <w:r>
        <w:rPr>
          <w:lang w:val="en-GB" w:eastAsia="zh-CN"/>
        </w:rPr>
        <w:t>.2.</w:t>
      </w:r>
    </w:p>
    <w:p w14:paraId="63E8029B" w14:textId="77777777" w:rsidR="007A22D1" w:rsidRDefault="007A22D1" w:rsidP="007A22D1">
      <w:pPr>
        <w:rPr>
          <w:lang w:val="en-GB" w:eastAsia="zh-CN"/>
        </w:rPr>
      </w:pPr>
      <w:r>
        <w:rPr>
          <w:lang w:val="en-GB" w:eastAsia="zh-CN"/>
        </w:rPr>
        <w:t>For example, for intra-frequency measurement requirements (</w:t>
      </w:r>
      <w:proofErr w:type="spellStart"/>
      <w:r w:rsidRPr="00691C10">
        <w:t>T</w:t>
      </w:r>
      <w:r w:rsidRPr="00691C10">
        <w:rPr>
          <w:vertAlign w:val="subscript"/>
        </w:rPr>
        <w:t>detect,NB_Intra_NC</w:t>
      </w:r>
      <w:proofErr w:type="spellEnd"/>
      <w:r w:rsidRPr="00691C10">
        <w:rPr>
          <w:vertAlign w:val="subscript"/>
        </w:rPr>
        <w:t>,</w:t>
      </w:r>
      <w:r w:rsidRPr="00691C10">
        <w:t xml:space="preserve"> </w:t>
      </w:r>
      <w:proofErr w:type="spellStart"/>
      <w:r w:rsidRPr="00691C10">
        <w:t>T</w:t>
      </w:r>
      <w:r w:rsidRPr="00691C10">
        <w:rPr>
          <w:vertAlign w:val="subscript"/>
        </w:rPr>
        <w:t>measure,NB_Intra_NC</w:t>
      </w:r>
      <w:proofErr w:type="spellEnd"/>
      <w:r w:rsidRPr="00691C10">
        <w:t xml:space="preserve"> and </w:t>
      </w:r>
      <w:proofErr w:type="spellStart"/>
      <w:r w:rsidRPr="00691C10">
        <w:t>T</w:t>
      </w:r>
      <w:r w:rsidRPr="00691C10">
        <w:rPr>
          <w:vertAlign w:val="subscript"/>
        </w:rPr>
        <w:t>evaluate,NB_intra_NC</w:t>
      </w:r>
      <w:proofErr w:type="spellEnd"/>
      <w:r>
        <w:rPr>
          <w:lang w:val="en-GB" w:eastAsia="zh-CN"/>
        </w:rPr>
        <w:t xml:space="preserve">) in section </w:t>
      </w:r>
      <w:r w:rsidRPr="00691C10">
        <w:t>4.6.2.2</w:t>
      </w:r>
      <w:r>
        <w:rPr>
          <w:lang w:val="en-GB" w:eastAsia="zh-CN"/>
        </w:rPr>
        <w:t xml:space="preserve"> it is referred to 38.304 for “relaxed monitoring criteria”: </w:t>
      </w:r>
    </w:p>
    <w:p w14:paraId="66FBC6D3" w14:textId="77777777" w:rsidR="00F01892" w:rsidRPr="00F01892" w:rsidRDefault="00F01892" w:rsidP="00F01892">
      <w:pPr>
        <w:pStyle w:val="Heading5"/>
        <w:numPr>
          <w:ilvl w:val="0"/>
          <w:numId w:val="0"/>
        </w:numPr>
        <w:spacing w:before="0" w:after="0"/>
        <w:ind w:left="1008" w:hanging="1008"/>
        <w:rPr>
          <w:rFonts w:ascii="Times New Roman" w:hAnsi="Times New Roman" w:cs="Times New Roman"/>
          <w:color w:val="C45911" w:themeColor="accent2" w:themeShade="BF"/>
          <w:sz w:val="18"/>
          <w:szCs w:val="18"/>
          <w:lang w:val="en-US"/>
        </w:rPr>
      </w:pPr>
      <w:r w:rsidRPr="00F01892">
        <w:rPr>
          <w:rFonts w:ascii="Times New Roman" w:hAnsi="Times New Roman" w:cs="Times New Roman"/>
          <w:color w:val="C45911" w:themeColor="accent2" w:themeShade="BF"/>
          <w:sz w:val="18"/>
          <w:szCs w:val="18"/>
          <w:lang w:val="en-US"/>
        </w:rPr>
        <w:lastRenderedPageBreak/>
        <w:t xml:space="preserve">4.2.2.9.1 </w:t>
      </w:r>
      <w:r w:rsidRPr="00F01892">
        <w:rPr>
          <w:rFonts w:ascii="Times New Roman" w:hAnsi="Times New Roman" w:cs="Times New Roman"/>
          <w:color w:val="C45911" w:themeColor="accent2" w:themeShade="BF"/>
          <w:sz w:val="18"/>
          <w:szCs w:val="18"/>
          <w:lang w:val="en-US"/>
        </w:rPr>
        <w:tab/>
        <w:t>Introduction</w:t>
      </w:r>
    </w:p>
    <w:p w14:paraId="64076AAF" w14:textId="77777777" w:rsidR="00F01892" w:rsidRPr="00F01892" w:rsidRDefault="00F01892" w:rsidP="00F01892">
      <w:pPr>
        <w:spacing w:after="0"/>
        <w:rPr>
          <w:rFonts w:ascii="Times New Roman" w:hAnsi="Times New Roman"/>
          <w:noProof/>
          <w:color w:val="C45911" w:themeColor="accent2" w:themeShade="BF"/>
          <w:sz w:val="18"/>
          <w:szCs w:val="18"/>
        </w:rPr>
      </w:pPr>
      <w:r w:rsidRPr="00F01892">
        <w:rPr>
          <w:rFonts w:ascii="Times New Roman" w:hAnsi="Times New Roman"/>
          <w:noProof/>
          <w:color w:val="C45911" w:themeColor="accent2" w:themeShade="BF"/>
          <w:sz w:val="18"/>
          <w:szCs w:val="18"/>
        </w:rPr>
        <w:t xml:space="preserve">This section contains the requirements for measurements on intra-frequency NR cells when </w:t>
      </w:r>
      <w:r w:rsidRPr="00F01892">
        <w:rPr>
          <w:rFonts w:ascii="Times New Roman" w:eastAsiaTheme="minorEastAsia" w:hAnsi="Times New Roman"/>
          <w:color w:val="C45911" w:themeColor="accent2" w:themeShade="BF"/>
          <w:sz w:val="18"/>
          <w:szCs w:val="18"/>
          <w:lang w:eastAsia="zh-CN"/>
        </w:rPr>
        <w:t xml:space="preserve">Srxlev &gt; </w:t>
      </w:r>
      <w:proofErr w:type="spellStart"/>
      <w:r w:rsidRPr="00F01892">
        <w:rPr>
          <w:rFonts w:ascii="Times New Roman" w:eastAsiaTheme="minorEastAsia" w:hAnsi="Times New Roman"/>
          <w:color w:val="C45911" w:themeColor="accent2" w:themeShade="BF"/>
          <w:sz w:val="18"/>
          <w:szCs w:val="18"/>
          <w:lang w:eastAsia="zh-CN"/>
        </w:rPr>
        <w:t>SnonIntraSearchP</w:t>
      </w:r>
      <w:proofErr w:type="spellEnd"/>
      <w:r w:rsidRPr="00F01892">
        <w:rPr>
          <w:rFonts w:ascii="Times New Roman" w:eastAsiaTheme="minorEastAsia" w:hAnsi="Times New Roman"/>
          <w:color w:val="C45911" w:themeColor="accent2" w:themeShade="BF"/>
          <w:sz w:val="18"/>
          <w:szCs w:val="18"/>
          <w:lang w:eastAsia="zh-CN"/>
        </w:rPr>
        <w:t xml:space="preserve"> and Squal &gt; </w:t>
      </w:r>
      <w:proofErr w:type="spellStart"/>
      <w:r w:rsidRPr="00F01892">
        <w:rPr>
          <w:rFonts w:ascii="Times New Roman" w:eastAsiaTheme="minorEastAsia" w:hAnsi="Times New Roman"/>
          <w:color w:val="C45911" w:themeColor="accent2" w:themeShade="BF"/>
          <w:sz w:val="18"/>
          <w:szCs w:val="18"/>
          <w:lang w:eastAsia="zh-CN"/>
        </w:rPr>
        <w:t>SnonIntraSearchQ</w:t>
      </w:r>
      <w:proofErr w:type="spellEnd"/>
      <w:r w:rsidRPr="00F01892">
        <w:rPr>
          <w:rFonts w:ascii="Times New Roman" w:eastAsiaTheme="minorEastAsia" w:hAnsi="Times New Roman"/>
          <w:color w:val="C45911" w:themeColor="accent2" w:themeShade="BF"/>
          <w:sz w:val="18"/>
          <w:szCs w:val="18"/>
          <w:lang w:eastAsia="zh-CN"/>
        </w:rPr>
        <w:t xml:space="preserve"> and when the UE is configured </w:t>
      </w:r>
      <w:r w:rsidRPr="00F01892">
        <w:rPr>
          <w:rFonts w:ascii="Times New Roman" w:hAnsi="Times New Roman"/>
          <w:noProof/>
          <w:color w:val="C45911" w:themeColor="accent2" w:themeShade="BF"/>
          <w:sz w:val="18"/>
          <w:szCs w:val="18"/>
        </w:rPr>
        <w:t>any of the following relaxed measurement critera:</w:t>
      </w:r>
    </w:p>
    <w:p w14:paraId="0B94BA35" w14:textId="77777777" w:rsidR="00F01892" w:rsidRPr="00F01892" w:rsidRDefault="00F01892" w:rsidP="00F01892">
      <w:pPr>
        <w:pStyle w:val="B1"/>
        <w:spacing w:after="0"/>
        <w:rPr>
          <w:noProof/>
          <w:color w:val="C45911" w:themeColor="accent2" w:themeShade="BF"/>
          <w:sz w:val="18"/>
          <w:szCs w:val="18"/>
        </w:rPr>
      </w:pPr>
      <w:r w:rsidRPr="00526542">
        <w:rPr>
          <w:noProof/>
          <w:color w:val="C45911" w:themeColor="accent2" w:themeShade="BF"/>
          <w:sz w:val="18"/>
          <w:szCs w:val="18"/>
          <w:highlight w:val="yellow"/>
        </w:rPr>
        <w:t>-</w:t>
      </w:r>
      <w:r w:rsidRPr="00526542">
        <w:rPr>
          <w:noProof/>
          <w:color w:val="C45911" w:themeColor="accent2" w:themeShade="BF"/>
          <w:sz w:val="18"/>
          <w:szCs w:val="18"/>
          <w:highlight w:val="yellow"/>
        </w:rPr>
        <w:tab/>
        <w:t>Relaxed measurement criterion for UE with low mobility defined in clause 5.2.4.X.1 in [1],</w:t>
      </w:r>
    </w:p>
    <w:p w14:paraId="63B835AE" w14:textId="77777777" w:rsidR="00F01892" w:rsidRPr="00F01892" w:rsidRDefault="00F01892" w:rsidP="00F01892">
      <w:pPr>
        <w:pStyle w:val="B1"/>
        <w:spacing w:after="0"/>
        <w:rPr>
          <w:noProof/>
          <w:color w:val="C45911" w:themeColor="accent2" w:themeShade="BF"/>
          <w:sz w:val="18"/>
          <w:szCs w:val="18"/>
        </w:rPr>
      </w:pPr>
      <w:bookmarkStart w:id="3" w:name="_Hlk42030516"/>
      <w:r w:rsidRPr="00F01892">
        <w:rPr>
          <w:noProof/>
          <w:color w:val="C45911" w:themeColor="accent2" w:themeShade="BF"/>
          <w:sz w:val="18"/>
          <w:szCs w:val="18"/>
        </w:rPr>
        <w:t>-</w:t>
      </w:r>
      <w:r w:rsidRPr="00F01892">
        <w:rPr>
          <w:noProof/>
          <w:color w:val="C45911" w:themeColor="accent2" w:themeShade="BF"/>
          <w:sz w:val="18"/>
          <w:szCs w:val="18"/>
        </w:rPr>
        <w:tab/>
        <w:t>Relaxed measurement criterion for UE not-at-cell edge defined in clause 5.2.4.X.2 in [1],</w:t>
      </w:r>
    </w:p>
    <w:bookmarkEnd w:id="3"/>
    <w:p w14:paraId="2CF0376B" w14:textId="77777777" w:rsidR="00F01892" w:rsidRPr="00F01892" w:rsidRDefault="00F01892" w:rsidP="00F01892">
      <w:pPr>
        <w:pStyle w:val="B1"/>
        <w:spacing w:after="0"/>
        <w:rPr>
          <w:noProof/>
          <w:color w:val="C45911" w:themeColor="accent2" w:themeShade="BF"/>
          <w:sz w:val="18"/>
          <w:szCs w:val="18"/>
        </w:rPr>
      </w:pPr>
      <w:r w:rsidRPr="00F01892">
        <w:rPr>
          <w:noProof/>
          <w:color w:val="C45911" w:themeColor="accent2" w:themeShade="BF"/>
          <w:sz w:val="18"/>
          <w:szCs w:val="18"/>
        </w:rPr>
        <w:t>-</w:t>
      </w:r>
      <w:r w:rsidRPr="00F01892">
        <w:rPr>
          <w:noProof/>
          <w:color w:val="C45911" w:themeColor="accent2" w:themeShade="BF"/>
          <w:sz w:val="18"/>
          <w:szCs w:val="18"/>
        </w:rPr>
        <w:tab/>
        <w:t>Both low mobility criterion and not-at-cell edge criterion as defined in clauses 5.2.4.X.1 and 5.2.4.X.2 in [1] respectively.</w:t>
      </w:r>
    </w:p>
    <w:p w14:paraId="168ACA3B" w14:textId="77777777" w:rsidR="00F01892" w:rsidRPr="00F01892" w:rsidRDefault="00F01892" w:rsidP="00F01892">
      <w:pPr>
        <w:pStyle w:val="Heading5"/>
        <w:numPr>
          <w:ilvl w:val="0"/>
          <w:numId w:val="0"/>
        </w:numPr>
        <w:spacing w:before="0" w:after="0"/>
        <w:ind w:left="1008" w:hanging="1008"/>
        <w:rPr>
          <w:rFonts w:ascii="Times New Roman" w:hAnsi="Times New Roman" w:cs="Times New Roman"/>
          <w:color w:val="C45911" w:themeColor="accent2" w:themeShade="BF"/>
          <w:sz w:val="18"/>
          <w:szCs w:val="18"/>
          <w:lang w:val="en-US"/>
        </w:rPr>
      </w:pPr>
      <w:r w:rsidRPr="00F01892">
        <w:rPr>
          <w:rFonts w:ascii="Times New Roman" w:hAnsi="Times New Roman" w:cs="Times New Roman"/>
          <w:color w:val="C45911" w:themeColor="accent2" w:themeShade="BF"/>
          <w:sz w:val="18"/>
          <w:szCs w:val="18"/>
          <w:lang w:val="en-US"/>
        </w:rPr>
        <w:t xml:space="preserve">4.2.2.9.2 </w:t>
      </w:r>
      <w:r w:rsidRPr="00F01892">
        <w:rPr>
          <w:rFonts w:ascii="Times New Roman" w:hAnsi="Times New Roman" w:cs="Times New Roman"/>
          <w:color w:val="C45911" w:themeColor="accent2" w:themeShade="BF"/>
          <w:sz w:val="18"/>
          <w:szCs w:val="18"/>
          <w:lang w:val="en-US"/>
        </w:rPr>
        <w:tab/>
        <w:t>Measurements for UE fulfilling low mobility criterion</w:t>
      </w:r>
    </w:p>
    <w:p w14:paraId="657D0269" w14:textId="77777777" w:rsidR="00F01892" w:rsidRPr="00F01892" w:rsidRDefault="00F01892" w:rsidP="00F01892">
      <w:pPr>
        <w:spacing w:after="0"/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</w:pPr>
      <w:r w:rsidRPr="00F01892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>This clause contains requirements for measurements on intra-frequency NR cells provided that:</w:t>
      </w:r>
    </w:p>
    <w:p w14:paraId="07D27334" w14:textId="77777777" w:rsidR="00F01892" w:rsidRPr="00F01892" w:rsidRDefault="00F01892" w:rsidP="00F01892">
      <w:pPr>
        <w:pStyle w:val="B1"/>
        <w:spacing w:after="0"/>
        <w:rPr>
          <w:color w:val="C45911" w:themeColor="accent2" w:themeShade="BF"/>
          <w:sz w:val="18"/>
          <w:szCs w:val="18"/>
          <w:lang w:eastAsia="zh-CN"/>
        </w:rPr>
      </w:pPr>
      <w:bookmarkStart w:id="4" w:name="_Hlk40295930"/>
      <w:r w:rsidRPr="00F01892">
        <w:rPr>
          <w:noProof/>
          <w:color w:val="C45911" w:themeColor="accent2" w:themeShade="BF"/>
          <w:sz w:val="18"/>
          <w:szCs w:val="18"/>
        </w:rPr>
        <w:t>-</w:t>
      </w:r>
      <w:r w:rsidRPr="00F01892">
        <w:rPr>
          <w:noProof/>
          <w:color w:val="C45911" w:themeColor="accent2" w:themeShade="BF"/>
          <w:sz w:val="18"/>
          <w:szCs w:val="18"/>
        </w:rPr>
        <w:tab/>
      </w:r>
      <w:r w:rsidRPr="00F01892">
        <w:rPr>
          <w:color w:val="C45911" w:themeColor="accent2" w:themeShade="BF"/>
          <w:sz w:val="18"/>
          <w:szCs w:val="18"/>
          <w:lang w:eastAsia="zh-CN"/>
        </w:rPr>
        <w:t>T331 timer is not running for EMR measurements on intra-frequency NR carrier and</w:t>
      </w:r>
    </w:p>
    <w:p w14:paraId="2F9A4B70" w14:textId="77777777" w:rsidR="00F01892" w:rsidRPr="00F01892" w:rsidRDefault="00F01892" w:rsidP="00F01892">
      <w:pPr>
        <w:pStyle w:val="B1"/>
        <w:spacing w:after="0"/>
        <w:rPr>
          <w:color w:val="C45911" w:themeColor="accent2" w:themeShade="BF"/>
          <w:sz w:val="18"/>
          <w:szCs w:val="18"/>
          <w:lang w:eastAsia="zh-CN"/>
        </w:rPr>
      </w:pPr>
      <w:r w:rsidRPr="00F01892">
        <w:rPr>
          <w:noProof/>
          <w:color w:val="C45911" w:themeColor="accent2" w:themeShade="BF"/>
          <w:sz w:val="18"/>
          <w:szCs w:val="18"/>
        </w:rPr>
        <w:t>-</w:t>
      </w:r>
      <w:r w:rsidRPr="00F01892">
        <w:rPr>
          <w:noProof/>
          <w:color w:val="C45911" w:themeColor="accent2" w:themeShade="BF"/>
          <w:sz w:val="18"/>
          <w:szCs w:val="18"/>
        </w:rPr>
        <w:tab/>
      </w:r>
      <w:r w:rsidRPr="00F01892">
        <w:rPr>
          <w:color w:val="C45911" w:themeColor="accent2" w:themeShade="BF"/>
          <w:sz w:val="18"/>
          <w:szCs w:val="18"/>
          <w:lang w:eastAsia="zh-CN"/>
        </w:rPr>
        <w:t xml:space="preserve">UE is configured with low mobility criterion, or  </w:t>
      </w:r>
    </w:p>
    <w:p w14:paraId="4D4CCE58" w14:textId="77777777" w:rsidR="00F01892" w:rsidRPr="00F01892" w:rsidRDefault="00F01892" w:rsidP="00F01892">
      <w:pPr>
        <w:pStyle w:val="B1"/>
        <w:spacing w:after="0"/>
        <w:rPr>
          <w:color w:val="C45911" w:themeColor="accent2" w:themeShade="BF"/>
          <w:sz w:val="18"/>
          <w:szCs w:val="18"/>
          <w:lang w:eastAsia="zh-CN"/>
        </w:rPr>
      </w:pPr>
      <w:r w:rsidRPr="00F01892">
        <w:rPr>
          <w:noProof/>
          <w:color w:val="C45911" w:themeColor="accent2" w:themeShade="BF"/>
          <w:sz w:val="18"/>
          <w:szCs w:val="18"/>
        </w:rPr>
        <w:t>-</w:t>
      </w:r>
      <w:r w:rsidRPr="00F01892">
        <w:rPr>
          <w:noProof/>
          <w:color w:val="C45911" w:themeColor="accent2" w:themeShade="BF"/>
          <w:sz w:val="18"/>
          <w:szCs w:val="18"/>
        </w:rPr>
        <w:tab/>
      </w:r>
      <w:r w:rsidRPr="00F01892">
        <w:rPr>
          <w:color w:val="C45911" w:themeColor="accent2" w:themeShade="BF"/>
          <w:sz w:val="18"/>
          <w:szCs w:val="18"/>
          <w:lang w:eastAsia="zh-CN"/>
        </w:rPr>
        <w:t>UE is configured with both low mobility criterion and not-at-cell edge criteria but has fulfilled only the low mobility criterion.</w:t>
      </w:r>
    </w:p>
    <w:bookmarkEnd w:id="4"/>
    <w:p w14:paraId="1694EAD3" w14:textId="77777777" w:rsidR="00F01892" w:rsidRPr="00F01892" w:rsidRDefault="00F01892" w:rsidP="00F01892">
      <w:pPr>
        <w:spacing w:after="0"/>
        <w:rPr>
          <w:rFonts w:ascii="Times New Roman" w:hAnsi="Times New Roman"/>
          <w:noProof/>
          <w:color w:val="C45911" w:themeColor="accent2" w:themeShade="BF"/>
          <w:sz w:val="18"/>
          <w:szCs w:val="18"/>
        </w:rPr>
      </w:pPr>
      <w:r w:rsidRPr="00F01892">
        <w:rPr>
          <w:rFonts w:ascii="Times New Roman" w:hAnsi="Times New Roman"/>
          <w:noProof/>
          <w:color w:val="C45911" w:themeColor="accent2" w:themeShade="BF"/>
          <w:sz w:val="18"/>
          <w:szCs w:val="18"/>
        </w:rPr>
        <w:t xml:space="preserve">The requirements defined in clause </w:t>
      </w:r>
      <w:r w:rsidRPr="00F01892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4.2.2.3 </w:t>
      </w:r>
      <w:r w:rsidRPr="00F01892">
        <w:rPr>
          <w:rFonts w:ascii="Times New Roman" w:hAnsi="Times New Roman"/>
          <w:noProof/>
          <w:color w:val="C45911" w:themeColor="accent2" w:themeShade="BF"/>
          <w:sz w:val="18"/>
          <w:szCs w:val="18"/>
        </w:rPr>
        <w:t>apply for this section except that:</w:t>
      </w:r>
    </w:p>
    <w:p w14:paraId="6A0166DC" w14:textId="77777777" w:rsidR="00F01892" w:rsidRPr="00F01892" w:rsidRDefault="00F01892" w:rsidP="00F01892">
      <w:pPr>
        <w:pStyle w:val="B1"/>
        <w:spacing w:after="0"/>
        <w:rPr>
          <w:color w:val="C45911" w:themeColor="accent2" w:themeShade="BF"/>
          <w:sz w:val="18"/>
          <w:szCs w:val="18"/>
        </w:rPr>
      </w:pPr>
      <w:r w:rsidRPr="00F01892">
        <w:rPr>
          <w:color w:val="C45911" w:themeColor="accent2" w:themeShade="BF"/>
          <w:sz w:val="18"/>
          <w:szCs w:val="18"/>
        </w:rPr>
        <w:t>-</w:t>
      </w:r>
      <w:r w:rsidRPr="00F01892">
        <w:rPr>
          <w:color w:val="C45911" w:themeColor="accent2" w:themeShade="BF"/>
          <w:sz w:val="18"/>
          <w:szCs w:val="18"/>
        </w:rPr>
        <w:tab/>
      </w:r>
      <w:proofErr w:type="spellStart"/>
      <w:r w:rsidRPr="00F01892">
        <w:rPr>
          <w:color w:val="C45911" w:themeColor="accent2" w:themeShade="BF"/>
          <w:sz w:val="18"/>
          <w:szCs w:val="18"/>
        </w:rPr>
        <w:t>T</w:t>
      </w:r>
      <w:r w:rsidRPr="00F01892">
        <w:rPr>
          <w:color w:val="C45911" w:themeColor="accent2" w:themeShade="BF"/>
          <w:sz w:val="18"/>
          <w:szCs w:val="18"/>
          <w:vertAlign w:val="subscript"/>
        </w:rPr>
        <w:t>detect,</w:t>
      </w:r>
      <w:r w:rsidRPr="00F01892">
        <w:rPr>
          <w:color w:val="C45911" w:themeColor="accent2" w:themeShade="BF"/>
          <w:sz w:val="18"/>
          <w:szCs w:val="18"/>
          <w:vertAlign w:val="subscript"/>
          <w:lang w:eastAsia="zh-CN"/>
        </w:rPr>
        <w:t>NR</w:t>
      </w:r>
      <w:r w:rsidRPr="00F01892">
        <w:rPr>
          <w:color w:val="C45911" w:themeColor="accent2" w:themeShade="BF"/>
          <w:sz w:val="18"/>
          <w:szCs w:val="18"/>
          <w:vertAlign w:val="subscript"/>
        </w:rPr>
        <w:t>_Intra</w:t>
      </w:r>
      <w:proofErr w:type="spellEnd"/>
      <w:r w:rsidRPr="00F01892">
        <w:rPr>
          <w:i/>
          <w:color w:val="C45911" w:themeColor="accent2" w:themeShade="BF"/>
          <w:sz w:val="18"/>
          <w:szCs w:val="18"/>
          <w:vertAlign w:val="subscript"/>
        </w:rPr>
        <w:t xml:space="preserve"> </w:t>
      </w:r>
      <w:r w:rsidRPr="00F01892">
        <w:rPr>
          <w:color w:val="C45911" w:themeColor="accent2" w:themeShade="BF"/>
          <w:sz w:val="18"/>
          <w:szCs w:val="18"/>
        </w:rPr>
        <w:t>as specified in Table 4.2.2.9.1-1.</w:t>
      </w:r>
    </w:p>
    <w:p w14:paraId="52D3E754" w14:textId="77777777" w:rsidR="00F01892" w:rsidRPr="00F01892" w:rsidRDefault="00F01892" w:rsidP="00F01892">
      <w:pPr>
        <w:pStyle w:val="B1"/>
        <w:spacing w:after="0"/>
        <w:rPr>
          <w:color w:val="C45911" w:themeColor="accent2" w:themeShade="BF"/>
          <w:sz w:val="18"/>
          <w:szCs w:val="18"/>
        </w:rPr>
      </w:pPr>
      <w:r w:rsidRPr="00F01892">
        <w:rPr>
          <w:color w:val="C45911" w:themeColor="accent2" w:themeShade="BF"/>
          <w:sz w:val="18"/>
          <w:szCs w:val="18"/>
        </w:rPr>
        <w:t>-</w:t>
      </w:r>
      <w:r w:rsidRPr="00F01892">
        <w:rPr>
          <w:color w:val="C45911" w:themeColor="accent2" w:themeShade="BF"/>
          <w:sz w:val="18"/>
          <w:szCs w:val="18"/>
        </w:rPr>
        <w:tab/>
      </w:r>
      <w:proofErr w:type="spellStart"/>
      <w:r w:rsidRPr="00F01892">
        <w:rPr>
          <w:color w:val="C45911" w:themeColor="accent2" w:themeShade="BF"/>
          <w:sz w:val="18"/>
          <w:szCs w:val="18"/>
        </w:rPr>
        <w:t>T</w:t>
      </w:r>
      <w:r w:rsidRPr="00F01892">
        <w:rPr>
          <w:color w:val="C45911" w:themeColor="accent2" w:themeShade="BF"/>
          <w:sz w:val="18"/>
          <w:szCs w:val="18"/>
          <w:vertAlign w:val="subscript"/>
        </w:rPr>
        <w:t>measure,NR_Intra</w:t>
      </w:r>
      <w:proofErr w:type="spellEnd"/>
      <w:r w:rsidRPr="00F01892">
        <w:rPr>
          <w:color w:val="C45911" w:themeColor="accent2" w:themeShade="BF"/>
          <w:sz w:val="18"/>
          <w:szCs w:val="18"/>
        </w:rPr>
        <w:t xml:space="preserve"> as specified in Table 4.2.2.9.1-1.</w:t>
      </w:r>
    </w:p>
    <w:p w14:paraId="265E6074" w14:textId="77777777" w:rsidR="00F01892" w:rsidRPr="00F01892" w:rsidRDefault="00F01892" w:rsidP="00F01892">
      <w:pPr>
        <w:pStyle w:val="B1"/>
        <w:spacing w:after="200"/>
        <w:rPr>
          <w:color w:val="C45911" w:themeColor="accent2" w:themeShade="BF"/>
          <w:sz w:val="18"/>
          <w:szCs w:val="18"/>
        </w:rPr>
      </w:pPr>
      <w:r w:rsidRPr="00F01892">
        <w:rPr>
          <w:color w:val="C45911" w:themeColor="accent2" w:themeShade="BF"/>
          <w:sz w:val="18"/>
          <w:szCs w:val="18"/>
        </w:rPr>
        <w:t>-</w:t>
      </w:r>
      <w:r w:rsidRPr="00F01892">
        <w:rPr>
          <w:color w:val="C45911" w:themeColor="accent2" w:themeShade="BF"/>
          <w:sz w:val="18"/>
          <w:szCs w:val="18"/>
        </w:rPr>
        <w:tab/>
      </w:r>
      <w:proofErr w:type="spellStart"/>
      <w:r w:rsidRPr="00F01892">
        <w:rPr>
          <w:color w:val="C45911" w:themeColor="accent2" w:themeShade="BF"/>
          <w:sz w:val="18"/>
          <w:szCs w:val="18"/>
        </w:rPr>
        <w:t>T</w:t>
      </w:r>
      <w:r w:rsidRPr="00F01892">
        <w:rPr>
          <w:color w:val="C45911" w:themeColor="accent2" w:themeShade="BF"/>
          <w:sz w:val="18"/>
          <w:szCs w:val="18"/>
          <w:vertAlign w:val="subscript"/>
        </w:rPr>
        <w:t>evaluate,</w:t>
      </w:r>
      <w:r w:rsidRPr="00F01892">
        <w:rPr>
          <w:color w:val="C45911" w:themeColor="accent2" w:themeShade="BF"/>
          <w:sz w:val="18"/>
          <w:szCs w:val="18"/>
          <w:vertAlign w:val="subscript"/>
          <w:lang w:eastAsia="zh-CN"/>
        </w:rPr>
        <w:t>NR</w:t>
      </w:r>
      <w:r w:rsidRPr="00F01892">
        <w:rPr>
          <w:color w:val="C45911" w:themeColor="accent2" w:themeShade="BF"/>
          <w:sz w:val="18"/>
          <w:szCs w:val="18"/>
          <w:vertAlign w:val="subscript"/>
        </w:rPr>
        <w:t>_Intra</w:t>
      </w:r>
      <w:proofErr w:type="spellEnd"/>
      <w:r w:rsidRPr="00F01892">
        <w:rPr>
          <w:color w:val="C45911" w:themeColor="accent2" w:themeShade="BF"/>
          <w:sz w:val="18"/>
          <w:szCs w:val="18"/>
          <w:vertAlign w:val="subscript"/>
        </w:rPr>
        <w:t xml:space="preserve"> </w:t>
      </w:r>
      <w:r w:rsidRPr="00F01892">
        <w:rPr>
          <w:color w:val="C45911" w:themeColor="accent2" w:themeShade="BF"/>
          <w:sz w:val="18"/>
          <w:szCs w:val="18"/>
        </w:rPr>
        <w:t>as specified in Table 4.2.2.9.1-1.</w:t>
      </w:r>
    </w:p>
    <w:p w14:paraId="1DEB3AB7" w14:textId="7B2FA3C6" w:rsidR="00FA27C0" w:rsidRDefault="009D725A" w:rsidP="00FA27C0">
      <w:pPr>
        <w:pStyle w:val="Heading1"/>
      </w:pPr>
      <w:r>
        <w:t>Discussion</w:t>
      </w:r>
      <w:bookmarkEnd w:id="2"/>
    </w:p>
    <w:p w14:paraId="6DAACBAD" w14:textId="5C9A31BD" w:rsidR="002E5022" w:rsidRDefault="002E5022" w:rsidP="002E5022">
      <w:pPr>
        <w:rPr>
          <w:lang w:val="en-GB" w:eastAsia="zh-CN"/>
        </w:rPr>
      </w:pPr>
      <w:r>
        <w:rPr>
          <w:lang w:val="en-GB" w:eastAsia="zh-CN"/>
        </w:rPr>
        <w:t>There is a common understanding that the same requirements should be not be duplicated in different specifications</w:t>
      </w:r>
      <w:r w:rsidR="008246A5">
        <w:rPr>
          <w:lang w:val="en-GB" w:eastAsia="zh-CN"/>
        </w:rPr>
        <w:t xml:space="preserve">, especially when those specifications are maintained in different working groups. </w:t>
      </w:r>
    </w:p>
    <w:p w14:paraId="45F58798" w14:textId="6534640A" w:rsidR="0071040A" w:rsidRDefault="008246A5" w:rsidP="002E5022">
      <w:pPr>
        <w:rPr>
          <w:lang w:val="en-GB" w:eastAsia="zh-CN"/>
        </w:rPr>
      </w:pPr>
      <w:r>
        <w:rPr>
          <w:lang w:val="en-GB" w:eastAsia="zh-CN"/>
        </w:rPr>
        <w:t xml:space="preserve">For LTE the </w:t>
      </w:r>
      <w:r w:rsidR="0071040A">
        <w:rPr>
          <w:lang w:val="en-GB" w:eastAsia="zh-CN"/>
        </w:rPr>
        <w:t>trigger conditio</w:t>
      </w:r>
      <w:r w:rsidR="001E60FE">
        <w:rPr>
          <w:lang w:val="en-GB" w:eastAsia="zh-CN"/>
        </w:rPr>
        <w:t>ns are</w:t>
      </w:r>
      <w:r w:rsidR="0071040A">
        <w:rPr>
          <w:lang w:val="en-GB" w:eastAsia="zh-CN"/>
        </w:rPr>
        <w:t xml:space="preserve"> captured in 38.304, while the measurement requirements </w:t>
      </w:r>
      <w:r w:rsidR="001E60FE">
        <w:rPr>
          <w:lang w:val="en-GB" w:eastAsia="zh-CN"/>
        </w:rPr>
        <w:t>are</w:t>
      </w:r>
      <w:r w:rsidR="0071040A">
        <w:rPr>
          <w:lang w:val="en-GB" w:eastAsia="zh-CN"/>
        </w:rPr>
        <w:t xml:space="preserve"> captured in 38.133</w:t>
      </w:r>
      <w:r w:rsidR="000E757F">
        <w:rPr>
          <w:lang w:val="en-GB" w:eastAsia="zh-CN"/>
        </w:rPr>
        <w:t>. But f</w:t>
      </w:r>
      <w:r w:rsidR="0071040A">
        <w:rPr>
          <w:lang w:val="en-GB" w:eastAsia="zh-CN"/>
        </w:rPr>
        <w:t xml:space="preserve">or NR </w:t>
      </w:r>
      <w:r w:rsidR="009251E0">
        <w:rPr>
          <w:lang w:val="en-GB" w:eastAsia="zh-CN"/>
        </w:rPr>
        <w:t>the trigger condition</w:t>
      </w:r>
      <w:r w:rsidR="000E757F">
        <w:rPr>
          <w:lang w:val="en-GB" w:eastAsia="zh-CN"/>
        </w:rPr>
        <w:t>s</w:t>
      </w:r>
      <w:r w:rsidR="009251E0">
        <w:rPr>
          <w:lang w:val="en-GB" w:eastAsia="zh-CN"/>
        </w:rPr>
        <w:t xml:space="preserve"> to </w:t>
      </w:r>
      <w:r w:rsidR="0017581D">
        <w:rPr>
          <w:lang w:val="en-GB" w:eastAsia="zh-CN"/>
        </w:rPr>
        <w:t>(to great extend)</w:t>
      </w:r>
      <w:r w:rsidR="009251E0">
        <w:rPr>
          <w:lang w:val="en-GB" w:eastAsia="zh-CN"/>
        </w:rPr>
        <w:t xml:space="preserve"> </w:t>
      </w:r>
      <w:r w:rsidR="000E757F">
        <w:rPr>
          <w:lang w:val="en-GB" w:eastAsia="zh-CN"/>
        </w:rPr>
        <w:t>are</w:t>
      </w:r>
      <w:r w:rsidR="009251E0">
        <w:rPr>
          <w:lang w:val="en-GB" w:eastAsia="zh-CN"/>
        </w:rPr>
        <w:t xml:space="preserve"> captured in both 38.304 and 38.133</w:t>
      </w:r>
      <w:r w:rsidR="000E757F">
        <w:rPr>
          <w:lang w:val="en-GB" w:eastAsia="zh-CN"/>
        </w:rPr>
        <w:t>, i.e. duplicated.</w:t>
      </w:r>
      <w:r w:rsidR="001E60FE">
        <w:rPr>
          <w:lang w:val="en-GB" w:eastAsia="zh-CN"/>
        </w:rPr>
        <w:t xml:space="preserve"> </w:t>
      </w:r>
      <w:r w:rsidR="0017581D">
        <w:rPr>
          <w:lang w:val="en-GB" w:eastAsia="zh-CN"/>
        </w:rPr>
        <w:t xml:space="preserve">This may lead to problems, when not exact </w:t>
      </w:r>
      <w:r w:rsidR="00011C23">
        <w:rPr>
          <w:lang w:val="en-GB" w:eastAsia="zh-CN"/>
        </w:rPr>
        <w:t xml:space="preserve">the </w:t>
      </w:r>
      <w:r w:rsidR="0017581D">
        <w:rPr>
          <w:lang w:val="en-GB" w:eastAsia="zh-CN"/>
        </w:rPr>
        <w:t xml:space="preserve">same wording is used in both specifications, and </w:t>
      </w:r>
      <w:r w:rsidR="00011C23">
        <w:rPr>
          <w:lang w:val="en-GB" w:eastAsia="zh-CN"/>
        </w:rPr>
        <w:t xml:space="preserve">it </w:t>
      </w:r>
      <w:r w:rsidR="0017581D">
        <w:rPr>
          <w:lang w:val="en-GB" w:eastAsia="zh-CN"/>
        </w:rPr>
        <w:t xml:space="preserve">complicates maintenance.  </w:t>
      </w:r>
    </w:p>
    <w:p w14:paraId="06739ECD" w14:textId="46979EA0" w:rsidR="0059136A" w:rsidRDefault="0059136A" w:rsidP="002E5022">
      <w:pPr>
        <w:rPr>
          <w:lang w:val="en-GB" w:eastAsia="zh-CN"/>
        </w:rPr>
      </w:pPr>
      <w:r>
        <w:rPr>
          <w:lang w:val="en-GB" w:eastAsia="zh-CN"/>
        </w:rPr>
        <w:t xml:space="preserve">To avoid overlap in the future (e.g. when relaxed RRM is introduced for </w:t>
      </w:r>
      <w:proofErr w:type="spellStart"/>
      <w:r>
        <w:rPr>
          <w:lang w:val="en-GB" w:eastAsia="zh-CN"/>
        </w:rPr>
        <w:t>RedCap</w:t>
      </w:r>
      <w:proofErr w:type="spellEnd"/>
      <w:r>
        <w:rPr>
          <w:lang w:val="en-GB" w:eastAsia="zh-CN"/>
        </w:rPr>
        <w:t xml:space="preserve"> UE) it is proposed that </w:t>
      </w:r>
      <w:r w:rsidR="002F4C18">
        <w:rPr>
          <w:lang w:val="en-GB" w:eastAsia="zh-CN"/>
        </w:rPr>
        <w:t xml:space="preserve">some general rules are discussed and agreed </w:t>
      </w:r>
      <w:r w:rsidR="00011C23">
        <w:rPr>
          <w:lang w:val="en-GB" w:eastAsia="zh-CN"/>
        </w:rPr>
        <w:t>about what</w:t>
      </w:r>
      <w:r w:rsidR="002F4C18">
        <w:rPr>
          <w:lang w:val="en-GB" w:eastAsia="zh-CN"/>
        </w:rPr>
        <w:t xml:space="preserve"> requirements should be captured in 38.304 and </w:t>
      </w:r>
      <w:r w:rsidR="00011C23">
        <w:rPr>
          <w:lang w:val="en-GB" w:eastAsia="zh-CN"/>
        </w:rPr>
        <w:t xml:space="preserve">what requirements in </w:t>
      </w:r>
      <w:r w:rsidR="002F4C18">
        <w:rPr>
          <w:lang w:val="en-GB" w:eastAsia="zh-CN"/>
        </w:rPr>
        <w:t>38.133 for relaxed RRM measurements</w:t>
      </w:r>
      <w:r w:rsidR="00011C23">
        <w:rPr>
          <w:lang w:val="en-GB" w:eastAsia="zh-CN"/>
        </w:rPr>
        <w:t xml:space="preserve">: </w:t>
      </w:r>
    </w:p>
    <w:p w14:paraId="76080EDF" w14:textId="79BB0ED5" w:rsidR="0059136A" w:rsidRDefault="0059136A" w:rsidP="002E5022">
      <w:pPr>
        <w:rPr>
          <w:lang w:val="en-GB" w:eastAsia="zh-CN"/>
        </w:rPr>
      </w:pPr>
      <w:r w:rsidRPr="0059136A">
        <w:rPr>
          <w:b/>
          <w:bCs/>
          <w:lang w:val="en-GB" w:eastAsia="zh-CN"/>
        </w:rPr>
        <w:t>Proposal</w:t>
      </w:r>
      <w:r>
        <w:rPr>
          <w:lang w:val="en-GB" w:eastAsia="zh-CN"/>
        </w:rPr>
        <w:t xml:space="preserve">: </w:t>
      </w:r>
      <w:r w:rsidR="00CD1272">
        <w:rPr>
          <w:lang w:val="en-GB" w:eastAsia="zh-CN"/>
        </w:rPr>
        <w:t>For relaxed RRM measurements the t</w:t>
      </w:r>
      <w:r w:rsidR="00A97D7D">
        <w:rPr>
          <w:lang w:val="en-GB" w:eastAsia="zh-CN"/>
        </w:rPr>
        <w:t>rigger conditions are captured 38.304 and the measurement requirements are captured in 38.133.</w:t>
      </w:r>
    </w:p>
    <w:p w14:paraId="5E650D32" w14:textId="77777777" w:rsidR="009D725A" w:rsidRDefault="009D725A" w:rsidP="009D725A">
      <w:pPr>
        <w:pStyle w:val="Heading1"/>
        <w:jc w:val="both"/>
      </w:pPr>
      <w:bookmarkStart w:id="5" w:name="_Toc242573360"/>
      <w:r>
        <w:t>Summary</w:t>
      </w:r>
      <w:bookmarkEnd w:id="5"/>
    </w:p>
    <w:p w14:paraId="65B81F03" w14:textId="157CF2F7" w:rsidR="001659F2" w:rsidRDefault="001659F2" w:rsidP="001659F2">
      <w:bookmarkStart w:id="6" w:name="_Toc242573361"/>
      <w:r>
        <w:t xml:space="preserve">RAN2 is kindly asked to </w:t>
      </w:r>
      <w:r w:rsidR="00910638">
        <w:t xml:space="preserve">discuss </w:t>
      </w:r>
      <w:r w:rsidR="00CD1272">
        <w:t>how to avoid duplication of relaxed RRM measurement requirements in 38.304 and 38.133</w:t>
      </w:r>
      <w:r>
        <w:t xml:space="preserve">: </w:t>
      </w:r>
    </w:p>
    <w:p w14:paraId="4A8EE984" w14:textId="0BC88203" w:rsidR="00682662" w:rsidRPr="00CD1272" w:rsidRDefault="00CD1272" w:rsidP="00CD1272">
      <w:pPr>
        <w:rPr>
          <w:lang w:val="en-GB" w:eastAsia="zh-CN"/>
        </w:rPr>
      </w:pPr>
      <w:r w:rsidRPr="0059136A">
        <w:rPr>
          <w:b/>
          <w:bCs/>
          <w:lang w:val="en-GB" w:eastAsia="zh-CN"/>
        </w:rPr>
        <w:t>Proposal</w:t>
      </w:r>
      <w:r>
        <w:rPr>
          <w:lang w:val="en-GB" w:eastAsia="zh-CN"/>
        </w:rPr>
        <w:t>: For relaxed RRM measurements the trigger conditions are captured 38.304 and the measurement requirements are captured in 38.133.</w:t>
      </w:r>
      <w:bookmarkStart w:id="7" w:name="_GoBack"/>
      <w:bookmarkEnd w:id="6"/>
      <w:bookmarkEnd w:id="7"/>
    </w:p>
    <w:sectPr w:rsidR="00682662" w:rsidRPr="00CD1272" w:rsidSect="001069A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CE14DD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5"/>
  </w:num>
  <w:num w:numId="3">
    <w:abstractNumId w:val="18"/>
  </w:num>
  <w:num w:numId="4">
    <w:abstractNumId w:val="11"/>
  </w:num>
  <w:num w:numId="5">
    <w:abstractNumId w:val="36"/>
  </w:num>
  <w:num w:numId="6">
    <w:abstractNumId w:val="21"/>
  </w:num>
  <w:num w:numId="7">
    <w:abstractNumId w:val="33"/>
  </w:num>
  <w:num w:numId="8">
    <w:abstractNumId w:val="38"/>
  </w:num>
  <w:num w:numId="9">
    <w:abstractNumId w:val="14"/>
  </w:num>
  <w:num w:numId="10">
    <w:abstractNumId w:val="20"/>
  </w:num>
  <w:num w:numId="11">
    <w:abstractNumId w:val="17"/>
  </w:num>
  <w:num w:numId="12">
    <w:abstractNumId w:val="41"/>
  </w:num>
  <w:num w:numId="13">
    <w:abstractNumId w:val="15"/>
  </w:num>
  <w:num w:numId="14">
    <w:abstractNumId w:val="22"/>
  </w:num>
  <w:num w:numId="15">
    <w:abstractNumId w:val="37"/>
  </w:num>
  <w:num w:numId="16">
    <w:abstractNumId w:val="19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1"/>
  </w:num>
  <w:num w:numId="28">
    <w:abstractNumId w:val="16"/>
  </w:num>
  <w:num w:numId="29">
    <w:abstractNumId w:val="3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5"/>
  </w:num>
  <w:num w:numId="32">
    <w:abstractNumId w:val="29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8"/>
  </w:num>
  <w:num w:numId="36">
    <w:abstractNumId w:val="27"/>
  </w:num>
  <w:num w:numId="37">
    <w:abstractNumId w:val="30"/>
  </w:num>
  <w:num w:numId="38">
    <w:abstractNumId w:val="32"/>
  </w:num>
  <w:num w:numId="39">
    <w:abstractNumId w:val="40"/>
  </w:num>
  <w:num w:numId="40">
    <w:abstractNumId w:val="34"/>
  </w:num>
  <w:num w:numId="41">
    <w:abstractNumId w:val="12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8673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1C23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4991"/>
    <w:rsid w:val="000559F7"/>
    <w:rsid w:val="0005707A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686B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E757F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3D4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576"/>
    <w:rsid w:val="00147E07"/>
    <w:rsid w:val="00150EAC"/>
    <w:rsid w:val="0015199E"/>
    <w:rsid w:val="00164767"/>
    <w:rsid w:val="001648FB"/>
    <w:rsid w:val="001659F2"/>
    <w:rsid w:val="00172C20"/>
    <w:rsid w:val="0017581D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60FE"/>
    <w:rsid w:val="001E6A9C"/>
    <w:rsid w:val="001F13E9"/>
    <w:rsid w:val="001F5CA1"/>
    <w:rsid w:val="002013B3"/>
    <w:rsid w:val="00210E7C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6881"/>
    <w:rsid w:val="00237DA0"/>
    <w:rsid w:val="00241371"/>
    <w:rsid w:val="00241971"/>
    <w:rsid w:val="00244267"/>
    <w:rsid w:val="002500A8"/>
    <w:rsid w:val="00250587"/>
    <w:rsid w:val="00260EC7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E0414"/>
    <w:rsid w:val="002E083F"/>
    <w:rsid w:val="002E1A79"/>
    <w:rsid w:val="002E4760"/>
    <w:rsid w:val="002E5022"/>
    <w:rsid w:val="002F3825"/>
    <w:rsid w:val="002F4578"/>
    <w:rsid w:val="002F4C1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A6163"/>
    <w:rsid w:val="003B5CD6"/>
    <w:rsid w:val="003C1556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26542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136A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1FCE"/>
    <w:rsid w:val="005E42AD"/>
    <w:rsid w:val="005E5482"/>
    <w:rsid w:val="005E6CA0"/>
    <w:rsid w:val="005E6F22"/>
    <w:rsid w:val="005E7629"/>
    <w:rsid w:val="005F2971"/>
    <w:rsid w:val="005F7274"/>
    <w:rsid w:val="005F7968"/>
    <w:rsid w:val="00602B94"/>
    <w:rsid w:val="00602F9F"/>
    <w:rsid w:val="00603CCA"/>
    <w:rsid w:val="00610534"/>
    <w:rsid w:val="0061135E"/>
    <w:rsid w:val="00620158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5962"/>
    <w:rsid w:val="006E27D1"/>
    <w:rsid w:val="006E5B76"/>
    <w:rsid w:val="006E7D43"/>
    <w:rsid w:val="006F30A0"/>
    <w:rsid w:val="0070422F"/>
    <w:rsid w:val="00704408"/>
    <w:rsid w:val="007045A8"/>
    <w:rsid w:val="0071040A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306A"/>
    <w:rsid w:val="00755199"/>
    <w:rsid w:val="00764CCE"/>
    <w:rsid w:val="00767213"/>
    <w:rsid w:val="0077286C"/>
    <w:rsid w:val="00773DC4"/>
    <w:rsid w:val="00776F25"/>
    <w:rsid w:val="00782D8E"/>
    <w:rsid w:val="007837C7"/>
    <w:rsid w:val="00787E14"/>
    <w:rsid w:val="00797CEE"/>
    <w:rsid w:val="007A11E3"/>
    <w:rsid w:val="007A22D1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D3048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46A5"/>
    <w:rsid w:val="00825DCB"/>
    <w:rsid w:val="00830043"/>
    <w:rsid w:val="00834DE3"/>
    <w:rsid w:val="00842FC0"/>
    <w:rsid w:val="008440E1"/>
    <w:rsid w:val="00845C8A"/>
    <w:rsid w:val="00845DEA"/>
    <w:rsid w:val="0084641A"/>
    <w:rsid w:val="008576A8"/>
    <w:rsid w:val="00864238"/>
    <w:rsid w:val="008751B4"/>
    <w:rsid w:val="00876ABB"/>
    <w:rsid w:val="00877D1C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E0B00"/>
    <w:rsid w:val="008E1744"/>
    <w:rsid w:val="008E251D"/>
    <w:rsid w:val="008E78DC"/>
    <w:rsid w:val="008F7D64"/>
    <w:rsid w:val="0090043B"/>
    <w:rsid w:val="00910638"/>
    <w:rsid w:val="00913C74"/>
    <w:rsid w:val="00914326"/>
    <w:rsid w:val="009170CF"/>
    <w:rsid w:val="00920727"/>
    <w:rsid w:val="009216EB"/>
    <w:rsid w:val="009251E0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65FE1"/>
    <w:rsid w:val="009661B0"/>
    <w:rsid w:val="00966569"/>
    <w:rsid w:val="00966906"/>
    <w:rsid w:val="009669EC"/>
    <w:rsid w:val="00967CC9"/>
    <w:rsid w:val="00972AAC"/>
    <w:rsid w:val="0097370A"/>
    <w:rsid w:val="00975516"/>
    <w:rsid w:val="00977BBB"/>
    <w:rsid w:val="00985517"/>
    <w:rsid w:val="00985612"/>
    <w:rsid w:val="009938ED"/>
    <w:rsid w:val="009A0FD5"/>
    <w:rsid w:val="009A1476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97D7D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77B"/>
    <w:rsid w:val="00AF188F"/>
    <w:rsid w:val="00AF5EB7"/>
    <w:rsid w:val="00AF6208"/>
    <w:rsid w:val="00AF71DD"/>
    <w:rsid w:val="00B04F39"/>
    <w:rsid w:val="00B13B51"/>
    <w:rsid w:val="00B250D5"/>
    <w:rsid w:val="00B26CFB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5EA2"/>
    <w:rsid w:val="00BC740F"/>
    <w:rsid w:val="00BD0CC3"/>
    <w:rsid w:val="00BD12AC"/>
    <w:rsid w:val="00BD34F9"/>
    <w:rsid w:val="00BD57B1"/>
    <w:rsid w:val="00BD64D2"/>
    <w:rsid w:val="00BE4B38"/>
    <w:rsid w:val="00BE4D1B"/>
    <w:rsid w:val="00BF49FB"/>
    <w:rsid w:val="00BF69E7"/>
    <w:rsid w:val="00BF7D26"/>
    <w:rsid w:val="00C02D53"/>
    <w:rsid w:val="00C04BF5"/>
    <w:rsid w:val="00C04DC6"/>
    <w:rsid w:val="00C126DD"/>
    <w:rsid w:val="00C145B6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1272"/>
    <w:rsid w:val="00CD51AF"/>
    <w:rsid w:val="00CD566B"/>
    <w:rsid w:val="00CD67B3"/>
    <w:rsid w:val="00CE3462"/>
    <w:rsid w:val="00CE373D"/>
    <w:rsid w:val="00CF0562"/>
    <w:rsid w:val="00CF11DD"/>
    <w:rsid w:val="00CF1B9A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C484B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2B3C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1892"/>
    <w:rsid w:val="00F0507B"/>
    <w:rsid w:val="00F06A51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qFormat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Bulletedo1">
    <w:name w:val="Bulleted o 1"/>
    <w:basedOn w:val="Normal"/>
    <w:rsid w:val="00F01892"/>
    <w:pPr>
      <w:numPr>
        <w:numId w:val="4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</cp:lastModifiedBy>
  <cp:revision>5</cp:revision>
  <cp:lastPrinted>2009-10-21T14:47:00Z</cp:lastPrinted>
  <dcterms:created xsi:type="dcterms:W3CDTF">2020-10-22T15:22:00Z</dcterms:created>
  <dcterms:modified xsi:type="dcterms:W3CDTF">2020-10-23T04:59:00Z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